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1"/>
        <w:ind w:right="425"/>
        <w:spacing w:after="120"/>
        <w:rPr>
          <w:color w:val="auto"/>
        </w:rPr>
      </w:pPr>
      <w:r>
        <w:rPr>
          <w:color w:val="auto"/>
        </w:rPr>
        <w:t xml:space="preserve">Bürgschaftsbank Hessen informiert</w:t>
      </w:r>
      <w:r/>
    </w:p>
    <w:p>
      <w:pPr>
        <w:pStyle w:val="412"/>
        <w:ind w:right="425"/>
        <w:spacing w:after="120"/>
        <w:rPr>
          <w:rFonts w:ascii="Verdana" w:hAnsi="Verdana" w:cs="Verdana" w:eastAsia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Bürgschaftsbank Hessen</w:t>
      </w:r>
      <w:r>
        <w:rPr>
          <w:rFonts w:ascii="Verdana" w:hAnsi="Verdana"/>
          <w:b/>
          <w:bCs/>
          <w:color w:val="auto"/>
        </w:rPr>
        <w:t xml:space="preserve"> </w:t>
      </w:r>
      <w:r>
        <w:rPr>
          <w:rFonts w:ascii="Verdana" w:hAnsi="Verdana"/>
          <w:b/>
          <w:bCs/>
          <w:color w:val="auto"/>
        </w:rPr>
        <w:t xml:space="preserve">sichert mehr Unternehmen denn je</w:t>
      </w:r>
      <w:r/>
    </w:p>
    <w:p>
      <w:pPr>
        <w:pStyle w:val="413"/>
        <w:ind w:right="425"/>
        <w:spacing w:after="120"/>
        <w:rPr>
          <w:rFonts w:ascii="Verdana" w:hAnsi="Verdana"/>
          <w:color w:val="auto"/>
          <w:lang w:val="de-DE"/>
        </w:rPr>
      </w:pPr>
      <w:r>
        <w:rPr>
          <w:rFonts w:ascii="Verdana" w:hAnsi="Verdana"/>
          <w:color w:val="auto"/>
          <w:lang w:val="de-DE"/>
        </w:rPr>
        <w:t xml:space="preserve">2020 mehr als 200 Millionen Euro Investitionen</w:t>
      </w:r>
      <w:r>
        <w:rPr>
          <w:rFonts w:ascii="Verdana" w:hAnsi="Verdana"/>
          <w:color w:val="auto"/>
          <w:lang w:val="de-DE"/>
        </w:rPr>
        <w:t xml:space="preserve"> &amp; Liquidität</w:t>
      </w:r>
      <w:r>
        <w:rPr>
          <w:rFonts w:ascii="Verdana" w:hAnsi="Verdana"/>
          <w:color w:val="auto"/>
          <w:lang w:val="de-DE"/>
        </w:rPr>
        <w:t xml:space="preserve"> ermöglicht / trotz Corona viele Existenzgründungen und Übernahmen </w:t>
      </w:r>
      <w:r>
        <w:rPr>
          <w:rFonts w:ascii="Verdana" w:hAnsi="Verdana"/>
          <w:color w:val="auto"/>
          <w:lang w:val="de-DE"/>
        </w:rPr>
        <w:t xml:space="preserve">/</w:t>
      </w:r>
      <w:r>
        <w:rPr>
          <w:rFonts w:ascii="Verdana" w:hAnsi="Verdana"/>
          <w:color w:val="auto"/>
          <w:lang w:val="de-DE"/>
        </w:rPr>
        <w:t xml:space="preserve">3.</w:t>
      </w:r>
      <w:r>
        <w:rPr>
          <w:rFonts w:ascii="Verdana" w:hAnsi="Verdana"/>
          <w:color w:val="auto"/>
          <w:lang w:val="de-DE"/>
        </w:rPr>
        <w:t xml:space="preserve">4</w:t>
      </w:r>
      <w:r>
        <w:rPr>
          <w:rFonts w:ascii="Verdana" w:hAnsi="Verdana"/>
          <w:color w:val="auto"/>
          <w:lang w:val="de-DE"/>
        </w:rPr>
        <w:t xml:space="preserve">91</w:t>
      </w:r>
      <w:r>
        <w:rPr>
          <w:rFonts w:ascii="Verdana" w:hAnsi="Verdana"/>
          <w:color w:val="auto"/>
          <w:lang w:val="de-DE"/>
        </w:rPr>
        <w:t xml:space="preserve"> Arbeitsplätze neu geschaffen oder gesichert</w:t>
      </w:r>
      <w:r/>
    </w:p>
    <w:p>
      <w:pPr>
        <w:pStyle w:val="411"/>
        <w:ind w:right="425"/>
        <w:spacing w:after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Wiesbaden. </w:t>
      </w:r>
      <w:r>
        <w:rPr>
          <w:color w:val="auto"/>
          <w:sz w:val="20"/>
          <w:szCs w:val="20"/>
        </w:rPr>
        <w:t xml:space="preserve">Je stürmischer die Zeiten, desto wichtiger die zielgenaue und wirksame Unterstützung für die heimische Wirtschaft. Im Rückblick auf das Jahr 2020 zeigt die Bilanz de</w:t>
      </w:r>
      <w:r>
        <w:rPr>
          <w:color w:val="auto"/>
          <w:sz w:val="20"/>
          <w:szCs w:val="20"/>
        </w:rPr>
        <w:t xml:space="preserve">r Bürgschaftsbank Hessen (BB-H), dass die in guten Zeiten implementierten Sicherungssysteme sehr gut funktioniert haben. Im vergangenen Jahr unterstützte die BB-H insgesamt 261 Vorhaben hessischer Unternehmen – das bedeutet 211 Millionen Euro Investitionen</w:t>
      </w:r>
      <w:r>
        <w:rPr>
          <w:color w:val="auto"/>
          <w:sz w:val="20"/>
          <w:szCs w:val="20"/>
        </w:rPr>
        <w:t xml:space="preserve"> und Liquidität</w:t>
      </w:r>
      <w:r>
        <w:rPr>
          <w:color w:val="auto"/>
          <w:sz w:val="20"/>
          <w:szCs w:val="20"/>
        </w:rPr>
        <w:t xml:space="preserve">, die durch die Bürgschaftsbank ermöglicht wurden, </w:t>
      </w:r>
      <w:r>
        <w:rPr>
          <w:color w:val="auto"/>
          <w:sz w:val="20"/>
          <w:szCs w:val="20"/>
        </w:rPr>
        <w:t xml:space="preserve">indem sie fehlende Sicherheiten ersetzte.</w:t>
      </w:r>
      <w:r>
        <w:rPr>
          <w:color w:val="auto"/>
          <w:sz w:val="20"/>
          <w:szCs w:val="20"/>
        </w:rPr>
        <w:t xml:space="preserve"> Dies ist das beste Ergebnis in der Geschichte der Bürgschaftsbank.</w:t>
      </w:r>
      <w:r/>
    </w:p>
    <w:p>
      <w:pPr>
        <w:pStyle w:val="411"/>
        <w:ind w:right="425"/>
        <w:spacing w:after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Möglich wurde diese umfassende Unterstützung durch schnelle und entschlossene Reaktionen der Politik wie der Bürgschaftsbank selbst: </w:t>
      </w:r>
      <w:r/>
    </w:p>
    <w:p>
      <w:pPr>
        <w:pStyle w:val="411"/>
        <w:ind w:right="425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N</w:t>
      </w:r>
      <w:r>
        <w:rPr>
          <w:sz w:val="20"/>
          <w:szCs w:val="20"/>
        </w:rPr>
        <w:t xml:space="preserve">eben </w:t>
      </w:r>
      <w:r>
        <w:rPr>
          <w:sz w:val="20"/>
          <w:szCs w:val="20"/>
        </w:rPr>
        <w:t xml:space="preserve">unterstützenden Maßnahmen wie </w:t>
      </w:r>
      <w:r>
        <w:rPr>
          <w:sz w:val="20"/>
          <w:szCs w:val="20"/>
        </w:rPr>
        <w:t xml:space="preserve">Kurzarbeitergeld, Steuerstundungen, Soforthilfen etc</w:t>
      </w:r>
      <w:r>
        <w:rPr>
          <w:sz w:val="20"/>
          <w:szCs w:val="20"/>
        </w:rPr>
        <w:t xml:space="preserve">. haben das Land Hessen und der Bund mit Beginn der Pandemie die</w:t>
      </w:r>
      <w:r>
        <w:rPr>
          <w:sz w:val="20"/>
          <w:szCs w:val="20"/>
        </w:rPr>
        <w:t xml:space="preserve"> Rückbürgschaftsquoten</w:t>
      </w:r>
      <w:r>
        <w:rPr>
          <w:sz w:val="20"/>
          <w:szCs w:val="20"/>
        </w:rPr>
        <w:t xml:space="preserve"> erhöht. So konnte die </w:t>
      </w:r>
      <w:r>
        <w:rPr>
          <w:sz w:val="20"/>
          <w:szCs w:val="20"/>
        </w:rPr>
        <w:t xml:space="preserve">BB-H ihr Angebot </w:t>
      </w:r>
      <w:r>
        <w:rPr>
          <w:sz w:val="20"/>
          <w:szCs w:val="20"/>
        </w:rPr>
        <w:t xml:space="preserve">deutlich </w:t>
      </w:r>
      <w:r>
        <w:rPr>
          <w:sz w:val="20"/>
          <w:szCs w:val="20"/>
        </w:rPr>
        <w:t xml:space="preserve">ausweite</w:t>
      </w:r>
      <w:r>
        <w:rPr>
          <w:sz w:val="20"/>
          <w:szCs w:val="20"/>
        </w:rPr>
        <w:t xml:space="preserve">n, indem sie die </w:t>
      </w:r>
      <w:r>
        <w:rPr>
          <w:sz w:val="20"/>
          <w:szCs w:val="20"/>
        </w:rPr>
        <w:t xml:space="preserve">Bürgschaftsobergrenze</w:t>
      </w:r>
      <w:r>
        <w:rPr>
          <w:sz w:val="20"/>
          <w:szCs w:val="20"/>
        </w:rPr>
        <w:t xml:space="preserve">n und </w:t>
      </w:r>
      <w:r>
        <w:rPr>
          <w:sz w:val="20"/>
          <w:szCs w:val="20"/>
        </w:rPr>
        <w:t xml:space="preserve">Verbürgungsquote</w:t>
      </w:r>
      <w:r>
        <w:rPr>
          <w:sz w:val="20"/>
          <w:szCs w:val="20"/>
        </w:rPr>
        <w:t xml:space="preserve">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deutlich </w:t>
      </w:r>
      <w:r>
        <w:rPr>
          <w:sz w:val="20"/>
          <w:szCs w:val="20"/>
        </w:rPr>
        <w:t xml:space="preserve">erhöht hat. </w:t>
      </w:r>
      <w:r>
        <w:rPr>
          <w:sz w:val="20"/>
          <w:szCs w:val="20"/>
        </w:rPr>
        <w:t xml:space="preserve">Diese zunächst bis zum Jahresende 2020 befristete Erweiterung wurde jetzt bis zum 30. Juni 2021 verlängert.</w:t>
      </w:r>
      <w:r/>
    </w:p>
    <w:p>
      <w:pPr>
        <w:pStyle w:val="411"/>
        <w:ind w:right="425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Dazu kamen </w:t>
      </w:r>
      <w:r>
        <w:rPr>
          <w:sz w:val="20"/>
          <w:szCs w:val="20"/>
        </w:rPr>
        <w:t xml:space="preserve">umfangreiche organisatorische Maßnahmen</w:t>
      </w:r>
      <w:r>
        <w:rPr>
          <w:sz w:val="20"/>
          <w:szCs w:val="20"/>
        </w:rPr>
        <w:t xml:space="preserve"> wie </w:t>
      </w:r>
      <w:r>
        <w:rPr>
          <w:sz w:val="20"/>
          <w:szCs w:val="20"/>
        </w:rPr>
        <w:t xml:space="preserve">digitale Gremienarbeit, weniger Präsenztermine, </w:t>
      </w:r>
      <w:r>
        <w:rPr>
          <w:sz w:val="20"/>
          <w:szCs w:val="20"/>
        </w:rPr>
        <w:t xml:space="preserve">mobiles Arbeiten, </w:t>
      </w:r>
      <w:r>
        <w:rPr>
          <w:sz w:val="20"/>
          <w:szCs w:val="20"/>
        </w:rPr>
        <w:t xml:space="preserve">Videotechnik</w:t>
      </w:r>
      <w:r>
        <w:rPr>
          <w:sz w:val="20"/>
          <w:szCs w:val="20"/>
        </w:rPr>
        <w:t xml:space="preserve"> und automatisierte Prozesse.</w:t>
      </w:r>
      <w:r/>
    </w:p>
    <w:p>
      <w:pPr>
        <w:pStyle w:val="411"/>
        <w:ind w:right="425"/>
        <w:spacing w:after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„Wir sind stolz auf unsere Leistung im vergangenen Jahr“, so </w:t>
      </w:r>
      <w:r>
        <w:rPr>
          <w:color w:val="auto"/>
          <w:sz w:val="20"/>
          <w:szCs w:val="20"/>
        </w:rPr>
        <w:t xml:space="preserve">Michael Schwarz und </w:t>
      </w:r>
      <w:r>
        <w:rPr>
          <w:color w:val="auto"/>
          <w:sz w:val="20"/>
          <w:szCs w:val="20"/>
        </w:rPr>
        <w:t xml:space="preserve">Sven Volkert, </w:t>
      </w:r>
      <w:r>
        <w:rPr>
          <w:color w:val="auto"/>
          <w:sz w:val="20"/>
          <w:szCs w:val="20"/>
        </w:rPr>
        <w:t xml:space="preserve">die beiden </w:t>
      </w:r>
      <w:r>
        <w:rPr>
          <w:color w:val="auto"/>
          <w:sz w:val="20"/>
          <w:szCs w:val="20"/>
        </w:rPr>
        <w:t xml:space="preserve">Geschäftsführer der Bürgschaftsbank Hessen, „</w:t>
      </w:r>
      <w:r>
        <w:rPr>
          <w:color w:val="auto"/>
          <w:sz w:val="20"/>
          <w:szCs w:val="20"/>
        </w:rPr>
        <w:t xml:space="preserve">wir waren da, als die hessische Wirtschaft uns brauchte – und gut vorbereitet. Ein großer Dank gebührt an dieser Stelle unserem engagierten </w:t>
      </w:r>
      <w:r>
        <w:rPr>
          <w:color w:val="auto"/>
          <w:sz w:val="20"/>
          <w:szCs w:val="20"/>
        </w:rPr>
        <w:t xml:space="preserve">Team der BB-H</w:t>
      </w:r>
      <w:r>
        <w:rPr>
          <w:color w:val="auto"/>
          <w:sz w:val="20"/>
          <w:szCs w:val="20"/>
        </w:rPr>
        <w:t xml:space="preserve">, die den </w:t>
      </w:r>
      <w:r>
        <w:rPr>
          <w:color w:val="auto"/>
          <w:sz w:val="20"/>
          <w:szCs w:val="20"/>
        </w:rPr>
        <w:t xml:space="preserve">Ansturm </w:t>
      </w:r>
      <w:r>
        <w:rPr>
          <w:color w:val="auto"/>
          <w:sz w:val="20"/>
          <w:szCs w:val="20"/>
        </w:rPr>
        <w:t xml:space="preserve">unter erschwerten Bedingungen souverän gemeistert haben</w:t>
      </w:r>
      <w:r>
        <w:rPr>
          <w:color w:val="auto"/>
          <w:sz w:val="20"/>
          <w:szCs w:val="20"/>
        </w:rPr>
        <w:t xml:space="preserve">“</w:t>
      </w:r>
      <w:r/>
    </w:p>
    <w:p>
      <w:pPr>
        <w:pStyle w:val="411"/>
        <w:ind w:right="425"/>
        <w:spacing w:after="120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</w:r>
      <w:r/>
    </w:p>
    <w:p>
      <w:pPr>
        <w:pStyle w:val="411"/>
        <w:ind w:right="425"/>
        <w:spacing w:after="120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Es war nicht alles Corona-bedingt</w:t>
      </w:r>
      <w:r/>
    </w:p>
    <w:p>
      <w:pPr>
        <w:pStyle w:val="411"/>
        <w:ind w:right="425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In einem Jahr wie diesem stehen letztlich alle Unternehmensfinanzierungen im Zusammenhang mit </w:t>
      </w:r>
      <w:r>
        <w:rPr>
          <w:sz w:val="20"/>
          <w:szCs w:val="20"/>
        </w:rPr>
        <w:t xml:space="preserve">Corona</w:t>
      </w:r>
      <w:r>
        <w:rPr>
          <w:sz w:val="20"/>
          <w:szCs w:val="20"/>
        </w:rPr>
        <w:t xml:space="preserve"> und selbstverständlich hat die Bürgschaftsbank bei jedem Engagement bewertet, wel</w:t>
      </w:r>
      <w:r>
        <w:rPr>
          <w:sz w:val="20"/>
          <w:szCs w:val="20"/>
        </w:rPr>
        <w:t xml:space="preserve">chen Einfluss die aktuelle Lage auf das Geschäftsmodell und dessen Erfolg haben kann. Doch nicht alles war ausschließlich Corona-bedingt: „Wir sind angenehm überrascht, dass auch in diesem Jahr wieder viele Unternehmen gegründet und bestehende Unternehmen </w:t>
      </w:r>
      <w:r>
        <w:rPr>
          <w:sz w:val="20"/>
          <w:szCs w:val="20"/>
        </w:rPr>
        <w:t xml:space="preserve">an </w:t>
      </w:r>
      <w:r>
        <w:rPr>
          <w:sz w:val="20"/>
          <w:szCs w:val="20"/>
        </w:rPr>
        <w:t xml:space="preserve">Nachfolger </w:t>
      </w:r>
      <w:r>
        <w:rPr>
          <w:sz w:val="20"/>
          <w:szCs w:val="20"/>
        </w:rPr>
        <w:t xml:space="preserve">übergeben wurd</w:t>
      </w:r>
      <w:r>
        <w:rPr>
          <w:sz w:val="20"/>
          <w:szCs w:val="20"/>
        </w:rPr>
        <w:t xml:space="preserve">en“, so Michael Schwarz, Geschäftsführer der </w:t>
      </w:r>
      <w:r>
        <w:rPr>
          <w:sz w:val="20"/>
          <w:szCs w:val="20"/>
        </w:rPr>
        <w:t xml:space="preserve">Bürgschaftsbank Hessen, „das belegt, </w:t>
      </w:r>
      <w:r>
        <w:rPr>
          <w:sz w:val="20"/>
          <w:szCs w:val="20"/>
        </w:rPr>
        <w:t xml:space="preserve">dass die hessische Wirtschaft sehr gut aufgestellt in dieses Krisenjahr gegangen </w:t>
      </w:r>
      <w:r>
        <w:rPr>
          <w:sz w:val="20"/>
          <w:szCs w:val="20"/>
        </w:rPr>
        <w:t xml:space="preserve">ist und die Gründerszene trotz Corona weiter aktiv ist“</w:t>
      </w:r>
      <w:r>
        <w:rPr>
          <w:sz w:val="20"/>
          <w:szCs w:val="20"/>
        </w:rPr>
        <w:t xml:space="preserve">.</w:t>
      </w:r>
      <w:r/>
    </w:p>
    <w:p>
      <w:pPr>
        <w:pStyle w:val="411"/>
        <w:ind w:right="425"/>
        <w:spacing w:after="120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</w:r>
      <w:r/>
    </w:p>
    <w:p>
      <w:pPr>
        <w:pStyle w:val="411"/>
        <w:ind w:right="425"/>
        <w:spacing w:after="120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Auf höhere Ausfallzahlen gut vorbereitet</w:t>
      </w:r>
      <w:r/>
    </w:p>
    <w:p>
      <w:pPr>
        <w:pStyle w:val="411"/>
        <w:ind w:right="425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>
        <w:rPr>
          <w:sz w:val="20"/>
          <w:szCs w:val="20"/>
        </w:rPr>
        <w:t xml:space="preserve">Zahl der Insolvenzen </w:t>
      </w:r>
      <w:r>
        <w:rPr>
          <w:sz w:val="20"/>
          <w:szCs w:val="20"/>
        </w:rPr>
        <w:t xml:space="preserve">war 2020 </w:t>
      </w:r>
      <w:r>
        <w:rPr>
          <w:sz w:val="20"/>
          <w:szCs w:val="20"/>
        </w:rPr>
        <w:t xml:space="preserve">niedr</w:t>
      </w:r>
      <w:r>
        <w:rPr>
          <w:sz w:val="20"/>
          <w:szCs w:val="20"/>
        </w:rPr>
        <w:t xml:space="preserve">i</w:t>
      </w:r>
      <w:r>
        <w:rPr>
          <w:sz w:val="20"/>
          <w:szCs w:val="20"/>
        </w:rPr>
        <w:t xml:space="preserve">g </w:t>
      </w:r>
      <w:r>
        <w:rPr>
          <w:sz w:val="20"/>
          <w:szCs w:val="20"/>
        </w:rPr>
        <w:t xml:space="preserve">– auch bedingt durch die Aussetzung der Anmeldepflicht. Die Bürgschaftsbank rechnet einerseits im Jahr 2021 mit wirtschaftlichem Wachstum, andererseits mit steigenden Insolvenzen. </w:t>
      </w:r>
      <w:r>
        <w:rPr>
          <w:sz w:val="20"/>
          <w:szCs w:val="20"/>
        </w:rPr>
        <w:t xml:space="preserve">„</w:t>
      </w:r>
      <w:r>
        <w:rPr>
          <w:sz w:val="20"/>
          <w:szCs w:val="20"/>
        </w:rPr>
        <w:t xml:space="preserve">Mehr Insolvenzen bedeuten in der Regel auch, dass wir als Bürgschaftsbank durch Kreditausfälle stärker in Anspruch genommen werden“, sagt Michael Schwarz, „das ist Teil unseres Geschäftsmodell</w:t>
      </w:r>
      <w:r>
        <w:rPr>
          <w:sz w:val="20"/>
          <w:szCs w:val="20"/>
        </w:rPr>
        <w:t xml:space="preserve">s</w:t>
      </w:r>
      <w:r>
        <w:rPr>
          <w:sz w:val="20"/>
          <w:szCs w:val="20"/>
        </w:rPr>
        <w:t xml:space="preserve"> und wir sind darauf sehr gut vorbereitet.“ Bisher sei die Risikolage aus Sicht der Bürgschaftsbank stabil.</w:t>
      </w:r>
      <w:r/>
    </w:p>
    <w:p>
      <w:pPr>
        <w:pStyle w:val="411"/>
        <w:ind w:right="425"/>
        <w:spacing w:after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Die BB-H hat im Jahr 2020 insgesamt 261 Bürgschaften und Garantien </w:t>
      </w:r>
      <w:r>
        <w:rPr>
          <w:color w:val="auto"/>
          <w:sz w:val="20"/>
          <w:szCs w:val="20"/>
        </w:rPr>
        <w:t xml:space="preserve">(Vorjahr: 255 Stück) bewilligt, dies entspricht einem Bürgschaftsvolumen von 87 Millionen Euro (Vorjahr: 65,7 Millionen). </w:t>
      </w:r>
      <w:r>
        <w:rPr>
          <w:color w:val="auto"/>
          <w:sz w:val="20"/>
          <w:szCs w:val="20"/>
        </w:rPr>
        <w:t xml:space="preserve">Damit konnten </w:t>
      </w:r>
      <w:r>
        <w:rPr>
          <w:color w:val="auto"/>
          <w:sz w:val="20"/>
          <w:szCs w:val="20"/>
        </w:rPr>
        <w:t xml:space="preserve">die </w:t>
      </w:r>
      <w:r>
        <w:rPr>
          <w:color w:val="auto"/>
          <w:sz w:val="20"/>
          <w:szCs w:val="20"/>
        </w:rPr>
        <w:t xml:space="preserve">Unternehmen </w:t>
      </w:r>
      <w:r>
        <w:rPr>
          <w:color w:val="auto"/>
          <w:sz w:val="20"/>
          <w:szCs w:val="20"/>
        </w:rPr>
        <w:t xml:space="preserve">von ihren Hausbanken </w:t>
      </w:r>
      <w:r>
        <w:rPr>
          <w:color w:val="auto"/>
          <w:sz w:val="20"/>
          <w:szCs w:val="20"/>
        </w:rPr>
        <w:t xml:space="preserve">Kredite über </w:t>
      </w:r>
      <w:r>
        <w:rPr>
          <w:color w:val="auto"/>
          <w:sz w:val="20"/>
          <w:szCs w:val="20"/>
        </w:rPr>
        <w:t xml:space="preserve">112</w:t>
      </w:r>
      <w:r>
        <w:rPr>
          <w:color w:val="auto"/>
          <w:sz w:val="20"/>
          <w:szCs w:val="20"/>
        </w:rPr>
        <w:t xml:space="preserve"> Millionen Euro </w:t>
      </w:r>
      <w:r>
        <w:rPr>
          <w:color w:val="auto"/>
          <w:sz w:val="20"/>
          <w:szCs w:val="20"/>
        </w:rPr>
        <w:t xml:space="preserve">erhalte</w:t>
      </w:r>
      <w:r>
        <w:rPr>
          <w:color w:val="auto"/>
          <w:sz w:val="20"/>
          <w:szCs w:val="20"/>
        </w:rPr>
        <w:t xml:space="preserve">n (Vorjahr: 9</w:t>
      </w:r>
      <w:r>
        <w:rPr>
          <w:color w:val="auto"/>
          <w:sz w:val="20"/>
          <w:szCs w:val="20"/>
        </w:rPr>
        <w:t xml:space="preserve">1</w:t>
      </w:r>
      <w:r>
        <w:rPr>
          <w:color w:val="auto"/>
          <w:sz w:val="20"/>
          <w:szCs w:val="20"/>
        </w:rPr>
        <w:t xml:space="preserve"> Millionen)</w:t>
      </w:r>
      <w:r>
        <w:rPr>
          <w:color w:val="auto"/>
          <w:sz w:val="20"/>
          <w:szCs w:val="20"/>
        </w:rPr>
        <w:t xml:space="preserve">. Z</w:t>
      </w:r>
      <w:r>
        <w:rPr>
          <w:color w:val="auto"/>
          <w:sz w:val="20"/>
          <w:szCs w:val="20"/>
        </w:rPr>
        <w:t xml:space="preserve">usammen mit den eigenen Mitteln und sonstigen Finanzierungsquellen </w:t>
      </w:r>
      <w:r>
        <w:rPr>
          <w:color w:val="auto"/>
          <w:sz w:val="20"/>
          <w:szCs w:val="20"/>
        </w:rPr>
        <w:t xml:space="preserve">wurden </w:t>
      </w:r>
      <w:r>
        <w:rPr>
          <w:color w:val="auto"/>
          <w:sz w:val="20"/>
          <w:szCs w:val="20"/>
        </w:rPr>
        <w:t xml:space="preserve">insgesamt </w:t>
      </w:r>
      <w:r>
        <w:rPr>
          <w:color w:val="auto"/>
          <w:sz w:val="20"/>
          <w:szCs w:val="20"/>
        </w:rPr>
        <w:t xml:space="preserve">211</w:t>
      </w:r>
      <w:r>
        <w:rPr>
          <w:color w:val="auto"/>
          <w:sz w:val="20"/>
          <w:szCs w:val="20"/>
        </w:rPr>
        <w:t xml:space="preserve"> Millionen Euro Investitionen (Vorjahr </w:t>
      </w:r>
      <w:r>
        <w:rPr>
          <w:color w:val="auto"/>
          <w:sz w:val="20"/>
          <w:szCs w:val="20"/>
        </w:rPr>
        <w:t xml:space="preserve">160</w:t>
      </w:r>
      <w:r>
        <w:rPr>
          <w:color w:val="auto"/>
          <w:sz w:val="20"/>
          <w:szCs w:val="20"/>
        </w:rPr>
        <w:t xml:space="preserve"> Millionen) ermöglicht. Doch Wirtschaft wird für die Menschen gemacht</w:t>
      </w:r>
      <w:r>
        <w:rPr>
          <w:color w:val="auto"/>
          <w:sz w:val="20"/>
          <w:szCs w:val="20"/>
        </w:rPr>
        <w:t xml:space="preserve"> – und hinter diesen Beträgen stehen 3.4</w:t>
      </w:r>
      <w:r>
        <w:rPr>
          <w:color w:val="auto"/>
          <w:sz w:val="20"/>
          <w:szCs w:val="20"/>
        </w:rPr>
        <w:t xml:space="preserve">91</w:t>
      </w:r>
      <w:r>
        <w:rPr>
          <w:color w:val="auto"/>
          <w:sz w:val="20"/>
          <w:szCs w:val="20"/>
        </w:rPr>
        <w:t xml:space="preserve"> neu geschaffene oder gesicherte Arbeitsplätze in Hessen.</w:t>
      </w:r>
      <w:r/>
    </w:p>
    <w:p>
      <w:pPr>
        <w:pStyle w:val="411"/>
        <w:ind w:right="425"/>
        <w:spacing w:after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Mit einer Bürgschaft oder Garantie der Bürgschaftsbank werden viele Investitionen erst ermöglicht, zudem werden </w:t>
      </w:r>
      <w:r>
        <w:rPr>
          <w:color w:val="auto"/>
          <w:sz w:val="20"/>
          <w:szCs w:val="20"/>
        </w:rPr>
        <w:t xml:space="preserve">Finanzierungen deutlich</w:t>
      </w:r>
      <w:r>
        <w:rPr>
          <w:color w:val="auto"/>
          <w:sz w:val="20"/>
          <w:szCs w:val="20"/>
        </w:rPr>
        <w:t xml:space="preserve"> preiswerter, da die Bürgschaft der BB-H aus Sicht der Hausbanken eine erstklassige Sicherheit darstellt. </w:t>
      </w:r>
      <w:r/>
    </w:p>
    <w:p>
      <w:pPr>
        <w:pStyle w:val="411"/>
        <w:ind w:right="425"/>
        <w:spacing w:after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  <w:r/>
    </w:p>
    <w:p>
      <w:pPr>
        <w:pStyle w:val="411"/>
        <w:ind w:right="425"/>
        <w:spacing w:after="120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Von der hessischen Wirtschaft für die Wirtschaft</w:t>
      </w:r>
      <w:r/>
    </w:p>
    <w:p>
      <w:pPr>
        <w:pStyle w:val="411"/>
        <w:ind w:right="425"/>
        <w:spacing w:after="120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Die Bürgschaftsbank Hessen (BB-H) ist privatwirtschaftlich organisiert, ihre Gesellschafter sind </w:t>
      </w:r>
      <w:r>
        <w:rPr>
          <w:sz w:val="20"/>
          <w:szCs w:val="20"/>
        </w:rPr>
        <w:t xml:space="preserve">Kammern und Verbände Hessens, dazu Institute der Kredit- und Versicherungswirtschaft. Die BB-H arbeitet wirtschaftlich, aber nicht primär gewinnorientiert. Als Teil der Förderlands</w:t>
      </w:r>
      <w:r>
        <w:rPr>
          <w:sz w:val="20"/>
          <w:szCs w:val="20"/>
        </w:rPr>
        <w:t xml:space="preserve">chaft wird die Bürgschaftsbank aber auch von der öffentlichen Hand unterstützt: Der Bund und das Land Hessen übernehmen so genannte Rückbürgschaften, tragen also einen Teil des Risikos der Bürgschaftsbank. Volkswirtschaftlich gesehen eine gute Investition.</w:t>
      </w:r>
      <w:r/>
    </w:p>
    <w:p>
      <w:pPr>
        <w:pStyle w:val="411"/>
        <w:ind w:right="425"/>
        <w:spacing w:after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  <w:r/>
    </w:p>
    <w:p>
      <w:pPr>
        <w:pStyle w:val="411"/>
        <w:ind w:right="425"/>
        <w:spacing w:after="120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Die</w:t>
      </w:r>
      <w:r>
        <w:rPr>
          <w:b/>
          <w:bCs/>
          <w:color w:val="auto"/>
          <w:sz w:val="20"/>
          <w:szCs w:val="20"/>
        </w:rPr>
        <w:t xml:space="preserve"> Bürgschaftsbank Hessen </w:t>
      </w:r>
      <w:r>
        <w:rPr>
          <w:b/>
          <w:bCs/>
          <w:color w:val="auto"/>
          <w:sz w:val="20"/>
          <w:szCs w:val="20"/>
        </w:rPr>
        <w:t xml:space="preserve">bietet </w:t>
      </w:r>
      <w:r>
        <w:rPr>
          <w:b/>
          <w:bCs/>
          <w:color w:val="auto"/>
          <w:sz w:val="20"/>
          <w:szCs w:val="20"/>
        </w:rPr>
        <w:t xml:space="preserve">folgende Produkte an: </w:t>
      </w:r>
      <w:r/>
    </w:p>
    <w:p>
      <w:pPr>
        <w:pStyle w:val="411"/>
        <w:ind w:right="425"/>
        <w:spacing w:after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  <w:r/>
    </w:p>
    <w:p>
      <w:pPr>
        <w:pStyle w:val="411"/>
        <w:ind w:right="425"/>
        <w:spacing w:after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Bei der</w:t>
      </w:r>
      <w:r>
        <w:rPr>
          <w:color w:val="auto"/>
          <w:sz w:val="20"/>
          <w:szCs w:val="20"/>
        </w:rPr>
        <w:t xml:space="preserve"> „klassische</w:t>
      </w:r>
      <w:r>
        <w:rPr>
          <w:color w:val="auto"/>
          <w:sz w:val="20"/>
          <w:szCs w:val="20"/>
        </w:rPr>
        <w:t xml:space="preserve">n</w:t>
      </w:r>
      <w:r>
        <w:rPr>
          <w:color w:val="auto"/>
          <w:sz w:val="20"/>
          <w:szCs w:val="20"/>
        </w:rPr>
        <w:t xml:space="preserve"> Bürgschaft“</w:t>
      </w:r>
      <w:r>
        <w:rPr>
          <w:color w:val="auto"/>
          <w:sz w:val="20"/>
          <w:szCs w:val="20"/>
        </w:rPr>
        <w:t xml:space="preserve"> führt der Weg zunächs</w:t>
      </w:r>
      <w:r>
        <w:rPr>
          <w:color w:val="auto"/>
          <w:sz w:val="20"/>
          <w:szCs w:val="20"/>
        </w:rPr>
        <w:t xml:space="preserve">t</w:t>
      </w:r>
      <w:r>
        <w:rPr>
          <w:color w:val="auto"/>
          <w:sz w:val="20"/>
          <w:szCs w:val="20"/>
        </w:rPr>
        <w:t xml:space="preserve"> über die </w:t>
      </w:r>
      <w:r>
        <w:rPr>
          <w:color w:val="auto"/>
          <w:sz w:val="20"/>
          <w:szCs w:val="20"/>
        </w:rPr>
        <w:t xml:space="preserve">Hausbank</w:t>
      </w:r>
      <w:r>
        <w:rPr>
          <w:color w:val="auto"/>
          <w:sz w:val="20"/>
          <w:szCs w:val="20"/>
        </w:rPr>
        <w:t xml:space="preserve">, bei „Bürgschaft ohne Bank“ hingegen stellen Gründer oder Unternehmensnachfolger, aber auch bestehende Unternehmen, erst einen Antrag bei der Bürgschaftsbank, um sich danach (bei Zusage) </w:t>
      </w:r>
      <w:r>
        <w:rPr>
          <w:color w:val="auto"/>
          <w:sz w:val="20"/>
          <w:szCs w:val="20"/>
        </w:rPr>
        <w:t xml:space="preserve">die </w:t>
      </w:r>
      <w:r>
        <w:rPr>
          <w:color w:val="auto"/>
          <w:sz w:val="20"/>
          <w:szCs w:val="20"/>
        </w:rPr>
        <w:t xml:space="preserve">finanzierende Bank zu suchen. </w:t>
      </w:r>
      <w:r>
        <w:rPr>
          <w:color w:val="auto"/>
          <w:sz w:val="20"/>
          <w:szCs w:val="20"/>
        </w:rPr>
        <w:t xml:space="preserve">Mit der </w:t>
      </w:r>
      <w:r>
        <w:rPr>
          <w:color w:val="auto"/>
          <w:sz w:val="20"/>
          <w:szCs w:val="20"/>
        </w:rPr>
        <w:t xml:space="preserve">„Express-Bürgschaft“ </w:t>
      </w:r>
      <w:r>
        <w:rPr>
          <w:color w:val="auto"/>
          <w:sz w:val="20"/>
          <w:szCs w:val="20"/>
        </w:rPr>
        <w:t xml:space="preserve">können Unternehmen </w:t>
      </w:r>
      <w:r>
        <w:rPr>
          <w:color w:val="auto"/>
          <w:sz w:val="20"/>
          <w:szCs w:val="20"/>
        </w:rPr>
        <w:t xml:space="preserve">bzw. die </w:t>
      </w:r>
      <w:r>
        <w:rPr>
          <w:color w:val="auto"/>
          <w:sz w:val="20"/>
          <w:szCs w:val="20"/>
        </w:rPr>
        <w:t xml:space="preserve">Hausb</w:t>
      </w:r>
      <w:r>
        <w:rPr>
          <w:color w:val="auto"/>
          <w:sz w:val="20"/>
          <w:szCs w:val="20"/>
        </w:rPr>
        <w:t xml:space="preserve">ank</w:t>
      </w:r>
      <w:r>
        <w:rPr>
          <w:color w:val="auto"/>
          <w:sz w:val="20"/>
          <w:szCs w:val="20"/>
        </w:rPr>
        <w:t xml:space="preserve">en</w:t>
      </w:r>
      <w:r>
        <w:rPr>
          <w:color w:val="auto"/>
          <w:sz w:val="20"/>
          <w:szCs w:val="20"/>
        </w:rPr>
        <w:t xml:space="preserve"> in der Regel binnen 24 Stunden eine Bürgschaft erhalten. </w:t>
      </w:r>
      <w:r/>
    </w:p>
    <w:p>
      <w:pPr>
        <w:pStyle w:val="411"/>
        <w:ind w:right="425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Seit </w:t>
      </w:r>
      <w:r>
        <w:rPr>
          <w:sz w:val="20"/>
          <w:szCs w:val="20"/>
        </w:rPr>
        <w:t xml:space="preserve">2020 </w:t>
      </w:r>
      <w:r>
        <w:rPr>
          <w:sz w:val="20"/>
          <w:szCs w:val="20"/>
        </w:rPr>
        <w:t xml:space="preserve">gibt es außerdem </w:t>
      </w:r>
      <w:r>
        <w:rPr>
          <w:sz w:val="20"/>
          <w:szCs w:val="20"/>
        </w:rPr>
        <w:t xml:space="preserve">die Leasing-Bürgschaft, </w:t>
      </w:r>
      <w:r>
        <w:rPr>
          <w:sz w:val="20"/>
          <w:szCs w:val="20"/>
        </w:rPr>
        <w:t xml:space="preserve">mit der Leasing-Vorhaben ebenfalls besichert werden können.</w:t>
      </w:r>
      <w:r/>
    </w:p>
    <w:p>
      <w:pPr>
        <w:pStyle w:val="411"/>
        <w:ind w:right="425"/>
        <w:spacing w:after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Im </w:t>
      </w:r>
      <w:r>
        <w:rPr>
          <w:color w:val="auto"/>
          <w:sz w:val="20"/>
          <w:szCs w:val="20"/>
        </w:rPr>
        <w:t xml:space="preserve">Agrarsektor </w:t>
      </w:r>
      <w:r>
        <w:rPr>
          <w:color w:val="auto"/>
          <w:sz w:val="20"/>
          <w:szCs w:val="20"/>
        </w:rPr>
        <w:t xml:space="preserve">können Betriebe aus </w:t>
      </w:r>
      <w:r>
        <w:rPr>
          <w:color w:val="auto"/>
          <w:sz w:val="20"/>
          <w:szCs w:val="20"/>
        </w:rPr>
        <w:t xml:space="preserve">Marktfruchtanbau</w:t>
      </w:r>
      <w:r>
        <w:rPr>
          <w:color w:val="auto"/>
          <w:sz w:val="20"/>
          <w:szCs w:val="20"/>
        </w:rPr>
        <w:t xml:space="preserve"> und Viehwirtschaft</w:t>
      </w:r>
      <w:r>
        <w:rPr>
          <w:color w:val="auto"/>
          <w:sz w:val="20"/>
          <w:szCs w:val="20"/>
        </w:rPr>
        <w:t xml:space="preserve">, aber auch </w:t>
      </w:r>
      <w:r>
        <w:rPr>
          <w:color w:val="auto"/>
          <w:sz w:val="20"/>
          <w:szCs w:val="20"/>
        </w:rPr>
        <w:t xml:space="preserve">Winzer</w:t>
      </w:r>
      <w:r>
        <w:rPr>
          <w:color w:val="auto"/>
          <w:sz w:val="20"/>
          <w:szCs w:val="20"/>
        </w:rPr>
        <w:t xml:space="preserve">,</w:t>
      </w:r>
      <w:r>
        <w:rPr>
          <w:color w:val="auto"/>
          <w:sz w:val="20"/>
          <w:szCs w:val="20"/>
        </w:rPr>
        <w:t xml:space="preserve"> Fischzuchtbetriebe</w:t>
      </w:r>
      <w:r>
        <w:rPr>
          <w:color w:val="auto"/>
          <w:sz w:val="20"/>
          <w:szCs w:val="20"/>
        </w:rPr>
        <w:t xml:space="preserve"> und Imker</w:t>
      </w:r>
      <w:r>
        <w:rPr>
          <w:color w:val="auto"/>
          <w:sz w:val="20"/>
          <w:szCs w:val="20"/>
        </w:rPr>
        <w:t xml:space="preserve"> ihre Investitionen </w:t>
      </w:r>
      <w:r>
        <w:rPr>
          <w:color w:val="auto"/>
          <w:sz w:val="20"/>
          <w:szCs w:val="20"/>
        </w:rPr>
        <w:t xml:space="preserve">und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Betriebsmittel </w:t>
      </w:r>
      <w:r>
        <w:rPr>
          <w:color w:val="auto"/>
          <w:sz w:val="20"/>
          <w:szCs w:val="20"/>
        </w:rPr>
        <w:t xml:space="preserve">mit einer Bürgschaft besichern.</w:t>
      </w:r>
      <w:r/>
    </w:p>
    <w:p>
      <w:pPr>
        <w:pStyle w:val="411"/>
        <w:ind w:right="142"/>
        <w:spacing w:after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Details zu allen Angeboten der Bürgschaftsbank Hessen auf </w:t>
      </w:r>
      <w:r>
        <w:rPr>
          <w:color w:val="auto"/>
          <w:sz w:val="20"/>
          <w:szCs w:val="20"/>
        </w:rPr>
        <w:br/>
      </w:r>
      <w:hyperlink r:id="rId10" w:tooltip="http://www.bb-h.de" w:history="1">
        <w:r>
          <w:rPr>
            <w:rStyle w:val="407"/>
            <w:sz w:val="20"/>
            <w:szCs w:val="20"/>
          </w:rPr>
          <w:t xml:space="preserve">www.bb-h.de</w:t>
        </w:r>
      </w:hyperlink>
      <w:r>
        <w:rPr>
          <w:color w:val="auto"/>
          <w:sz w:val="20"/>
          <w:szCs w:val="20"/>
        </w:rPr>
        <w:t xml:space="preserve">.</w:t>
      </w:r>
      <w:r/>
    </w:p>
    <w:p>
      <w:pPr>
        <w:pStyle w:val="411"/>
        <w:ind w:right="142"/>
        <w:spacing w:after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  <w:r/>
    </w:p>
    <w:tbl>
      <w:tblPr>
        <w:tblW w:w="7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748"/>
        <w:gridCol w:w="748"/>
        <w:gridCol w:w="748"/>
        <w:gridCol w:w="748"/>
        <w:gridCol w:w="748"/>
      </w:tblGrid>
      <w:tr>
        <w:trPr>
          <w:trHeight w:val="320"/>
        </w:trPr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80" w:type="dxa"/>
            <w:vAlign w:val="bottom"/>
            <w:textDirection w:val="lrTb"/>
            <w:noWrap/>
          </w:tcPr>
          <w:p>
            <w:pPr>
              <w:ind w:right="142"/>
              <w:rPr>
                <w:rFonts w:eastAsia="Times New Roman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Times New Roman"/>
                <w:lang w:val="de-DE" w:eastAsia="de-D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20" w:type="dxa"/>
            <w:vAlign w:val="center"/>
            <w:textDirection w:val="lrTb"/>
            <w:noWrap/>
          </w:tcPr>
          <w:p>
            <w:pPr>
              <w:ind w:right="142"/>
              <w:jc w:val="right"/>
              <w:rPr>
                <w:rFonts w:ascii="Verdana" w:hAnsi="Verdana" w:cs="Calibri" w:eastAsia="Times New Roman"/>
                <w:b/>
                <w:bCs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b/>
                <w:bCs/>
                <w:color w:val="000000"/>
                <w:sz w:val="16"/>
                <w:szCs w:val="16"/>
                <w:lang w:val="de-DE" w:eastAsia="de-DE"/>
              </w:rPr>
              <w:t xml:space="preserve">2020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20" w:type="dxa"/>
            <w:vAlign w:val="center"/>
            <w:textDirection w:val="lrTb"/>
            <w:noWrap/>
          </w:tcPr>
          <w:p>
            <w:pPr>
              <w:ind w:right="142"/>
              <w:jc w:val="right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2019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00" w:type="dxa"/>
            <w:vAlign w:val="center"/>
            <w:textDirection w:val="lrTb"/>
            <w:noWrap/>
          </w:tcPr>
          <w:p>
            <w:pPr>
              <w:ind w:right="142"/>
              <w:jc w:val="right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2018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00" w:type="dxa"/>
            <w:vAlign w:val="center"/>
            <w:textDirection w:val="lrTb"/>
            <w:noWrap/>
          </w:tcPr>
          <w:p>
            <w:pPr>
              <w:ind w:right="142"/>
              <w:jc w:val="right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2017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00" w:type="dxa"/>
            <w:vAlign w:val="center"/>
            <w:textDirection w:val="lrTb"/>
            <w:noWrap/>
          </w:tcPr>
          <w:p>
            <w:pPr>
              <w:ind w:right="142"/>
              <w:jc w:val="right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2016</w:t>
            </w:r>
            <w:r/>
          </w:p>
        </w:tc>
      </w:tr>
      <w:tr>
        <w:trPr>
          <w:trHeight w:val="320"/>
        </w:trPr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80" w:type="dxa"/>
            <w:vAlign w:val="center"/>
            <w:textDirection w:val="lrTb"/>
            <w:noWrap/>
          </w:tcPr>
          <w:p>
            <w:pPr>
              <w:ind w:right="142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Bürgschafts- und Garantieübernahmen insgesamt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20" w:type="dxa"/>
            <w:vAlign w:val="center"/>
            <w:textDirection w:val="lrTb"/>
            <w:noWrap/>
          </w:tcPr>
          <w:p>
            <w:pPr>
              <w:ind w:right="142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20" w:type="dxa"/>
            <w:vAlign w:val="center"/>
            <w:textDirection w:val="lrTb"/>
            <w:noWrap/>
          </w:tcPr>
          <w:p>
            <w:pPr>
              <w:ind w:right="142"/>
              <w:rPr>
                <w:rFonts w:eastAsia="Times New Roman"/>
                <w:sz w:val="20"/>
                <w:szCs w:val="20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Times New Roman"/>
                <w:sz w:val="20"/>
                <w:szCs w:val="20"/>
                <w:lang w:val="de-DE" w:eastAsia="de-D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00" w:type="dxa"/>
            <w:vAlign w:val="bottom"/>
            <w:textDirection w:val="lrTb"/>
            <w:noWrap/>
          </w:tcPr>
          <w:p>
            <w:pPr>
              <w:ind w:right="142"/>
              <w:rPr>
                <w:rFonts w:eastAsia="Times New Roman"/>
                <w:sz w:val="20"/>
                <w:szCs w:val="20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Times New Roman"/>
                <w:sz w:val="20"/>
                <w:szCs w:val="20"/>
                <w:lang w:val="de-DE" w:eastAsia="de-D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00" w:type="dxa"/>
            <w:vAlign w:val="bottom"/>
            <w:textDirection w:val="lrTb"/>
            <w:noWrap/>
          </w:tcPr>
          <w:p>
            <w:pPr>
              <w:ind w:right="142"/>
              <w:rPr>
                <w:rFonts w:eastAsia="Times New Roman"/>
                <w:sz w:val="20"/>
                <w:szCs w:val="20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Times New Roman"/>
                <w:sz w:val="20"/>
                <w:szCs w:val="20"/>
                <w:lang w:val="de-DE" w:eastAsia="de-D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00" w:type="dxa"/>
            <w:vAlign w:val="bottom"/>
            <w:textDirection w:val="lrTb"/>
            <w:noWrap/>
          </w:tcPr>
          <w:p>
            <w:pPr>
              <w:ind w:right="142"/>
              <w:rPr>
                <w:rFonts w:eastAsia="Times New Roman"/>
                <w:sz w:val="20"/>
                <w:szCs w:val="20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Times New Roman"/>
                <w:sz w:val="20"/>
                <w:szCs w:val="20"/>
                <w:lang w:val="de-DE" w:eastAsia="de-DE"/>
              </w:rPr>
            </w:r>
            <w:r/>
          </w:p>
        </w:tc>
      </w:tr>
      <w:tr>
        <w:trPr>
          <w:trHeight w:val="320"/>
        </w:trPr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80" w:type="dxa"/>
            <w:vAlign w:val="center"/>
            <w:textDirection w:val="lrTb"/>
            <w:noWrap/>
          </w:tcPr>
          <w:p>
            <w:pPr>
              <w:ind w:right="142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Stück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20" w:type="dxa"/>
            <w:vAlign w:val="center"/>
            <w:textDirection w:val="lrTb"/>
            <w:noWrap/>
          </w:tcPr>
          <w:p>
            <w:pPr>
              <w:ind w:right="142"/>
              <w:jc w:val="right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261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20" w:type="dxa"/>
            <w:vAlign w:val="center"/>
            <w:textDirection w:val="lrTb"/>
            <w:noWrap/>
          </w:tcPr>
          <w:p>
            <w:pPr>
              <w:ind w:right="142"/>
              <w:jc w:val="right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255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00" w:type="dxa"/>
            <w:vAlign w:val="center"/>
            <w:textDirection w:val="lrTb"/>
            <w:noWrap/>
          </w:tcPr>
          <w:p>
            <w:pPr>
              <w:ind w:right="142"/>
              <w:jc w:val="right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236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00" w:type="dxa"/>
            <w:vAlign w:val="center"/>
            <w:textDirection w:val="lrTb"/>
            <w:noWrap/>
          </w:tcPr>
          <w:p>
            <w:pPr>
              <w:ind w:right="142"/>
              <w:jc w:val="right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236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00" w:type="dxa"/>
            <w:vAlign w:val="center"/>
            <w:textDirection w:val="lrTb"/>
            <w:noWrap/>
          </w:tcPr>
          <w:p>
            <w:pPr>
              <w:ind w:right="142"/>
              <w:jc w:val="right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237</w:t>
            </w:r>
            <w:r/>
          </w:p>
        </w:tc>
      </w:tr>
      <w:tr>
        <w:trPr>
          <w:trHeight w:val="320"/>
        </w:trPr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80" w:type="dxa"/>
            <w:vAlign w:val="center"/>
            <w:textDirection w:val="lrTb"/>
            <w:noWrap/>
          </w:tcPr>
          <w:p>
            <w:pPr>
              <w:ind w:right="142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Bü</w:t>
            </w: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./</w:t>
            </w: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Ga.Volumen</w:t>
            </w: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 [</w:t>
            </w: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Mio</w:t>
            </w: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€]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20" w:type="dxa"/>
            <w:vAlign w:val="center"/>
            <w:textDirection w:val="lrTb"/>
            <w:noWrap/>
          </w:tcPr>
          <w:p>
            <w:pPr>
              <w:ind w:right="142"/>
              <w:jc w:val="right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87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20" w:type="dxa"/>
            <w:vAlign w:val="center"/>
            <w:textDirection w:val="lrTb"/>
            <w:noWrap/>
          </w:tcPr>
          <w:p>
            <w:pPr>
              <w:ind w:right="142"/>
              <w:jc w:val="right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66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00" w:type="dxa"/>
            <w:vAlign w:val="center"/>
            <w:textDirection w:val="lrTb"/>
            <w:noWrap/>
          </w:tcPr>
          <w:p>
            <w:pPr>
              <w:ind w:right="142"/>
              <w:jc w:val="right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69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00" w:type="dxa"/>
            <w:vAlign w:val="center"/>
            <w:textDirection w:val="lrTb"/>
            <w:noWrap/>
          </w:tcPr>
          <w:p>
            <w:pPr>
              <w:ind w:right="142"/>
              <w:jc w:val="right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61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00" w:type="dxa"/>
            <w:vAlign w:val="center"/>
            <w:textDirection w:val="lrTb"/>
            <w:noWrap/>
          </w:tcPr>
          <w:p>
            <w:pPr>
              <w:ind w:right="142"/>
              <w:jc w:val="right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58</w:t>
            </w:r>
            <w:r/>
          </w:p>
        </w:tc>
      </w:tr>
      <w:tr>
        <w:trPr>
          <w:trHeight w:val="320"/>
        </w:trPr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80" w:type="dxa"/>
            <w:vAlign w:val="center"/>
            <w:textDirection w:val="lrTb"/>
            <w:noWrap/>
          </w:tcPr>
          <w:p>
            <w:pPr>
              <w:ind w:right="142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Ø Bürgschaft bzw. Garantie [T€]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20" w:type="dxa"/>
            <w:vAlign w:val="center"/>
            <w:textDirection w:val="lrTb"/>
            <w:noWrap/>
          </w:tcPr>
          <w:p>
            <w:pPr>
              <w:ind w:right="142"/>
              <w:jc w:val="right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333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20" w:type="dxa"/>
            <w:vAlign w:val="center"/>
            <w:textDirection w:val="lrTb"/>
            <w:noWrap/>
          </w:tcPr>
          <w:p>
            <w:pPr>
              <w:ind w:right="142"/>
              <w:jc w:val="right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258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00" w:type="dxa"/>
            <w:vAlign w:val="center"/>
            <w:textDirection w:val="lrTb"/>
            <w:noWrap/>
          </w:tcPr>
          <w:p>
            <w:pPr>
              <w:ind w:right="142"/>
              <w:jc w:val="right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294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00" w:type="dxa"/>
            <w:vAlign w:val="center"/>
            <w:textDirection w:val="lrTb"/>
            <w:noWrap/>
          </w:tcPr>
          <w:p>
            <w:pPr>
              <w:ind w:right="142"/>
              <w:jc w:val="right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259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00" w:type="dxa"/>
            <w:vAlign w:val="center"/>
            <w:textDirection w:val="lrTb"/>
            <w:noWrap/>
          </w:tcPr>
          <w:p>
            <w:pPr>
              <w:ind w:right="142"/>
              <w:jc w:val="right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246</w:t>
            </w:r>
            <w:r/>
          </w:p>
        </w:tc>
      </w:tr>
      <w:tr>
        <w:trPr>
          <w:trHeight w:val="320"/>
        </w:trPr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80" w:type="dxa"/>
            <w:vAlign w:val="center"/>
            <w:textDirection w:val="lrTb"/>
            <w:noWrap/>
          </w:tcPr>
          <w:p>
            <w:pPr>
              <w:ind w:right="142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Abgesichertes Kreditvolumen [</w:t>
            </w: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Mio</w:t>
            </w: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€]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20" w:type="dxa"/>
            <w:vAlign w:val="center"/>
            <w:textDirection w:val="lrTb"/>
            <w:noWrap/>
          </w:tcPr>
          <w:p>
            <w:pPr>
              <w:ind w:right="142"/>
              <w:jc w:val="right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20" w:type="dxa"/>
            <w:vAlign w:val="center"/>
            <w:textDirection w:val="lrTb"/>
            <w:noWrap/>
          </w:tcPr>
          <w:p>
            <w:pPr>
              <w:ind w:right="142"/>
              <w:jc w:val="right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91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00" w:type="dxa"/>
            <w:vAlign w:val="center"/>
            <w:textDirection w:val="lrTb"/>
            <w:noWrap/>
          </w:tcPr>
          <w:p>
            <w:pPr>
              <w:ind w:right="142"/>
              <w:jc w:val="right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93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00" w:type="dxa"/>
            <w:vAlign w:val="center"/>
            <w:textDirection w:val="lrTb"/>
            <w:noWrap/>
          </w:tcPr>
          <w:p>
            <w:pPr>
              <w:ind w:right="142"/>
              <w:jc w:val="right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84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00" w:type="dxa"/>
            <w:vAlign w:val="center"/>
            <w:textDirection w:val="lrTb"/>
            <w:noWrap/>
          </w:tcPr>
          <w:p>
            <w:pPr>
              <w:ind w:right="142"/>
              <w:jc w:val="right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80</w:t>
            </w:r>
            <w:r/>
          </w:p>
        </w:tc>
      </w:tr>
      <w:tr>
        <w:trPr>
          <w:trHeight w:val="320"/>
        </w:trPr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80" w:type="dxa"/>
            <w:vAlign w:val="center"/>
            <w:textDirection w:val="lrTb"/>
            <w:noWrap/>
          </w:tcPr>
          <w:p>
            <w:pPr>
              <w:ind w:right="142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Ermöglichte Investit</w:t>
            </w: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i</w:t>
            </w: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onen und Betriebsmittel [</w:t>
            </w: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Mio</w:t>
            </w: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€]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20" w:type="dxa"/>
            <w:vAlign w:val="center"/>
            <w:textDirection w:val="lrTb"/>
            <w:noWrap/>
          </w:tcPr>
          <w:p>
            <w:pPr>
              <w:ind w:right="142"/>
              <w:jc w:val="right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211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20" w:type="dxa"/>
            <w:vAlign w:val="center"/>
            <w:textDirection w:val="lrTb"/>
            <w:noWrap/>
          </w:tcPr>
          <w:p>
            <w:pPr>
              <w:ind w:right="142"/>
              <w:jc w:val="right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160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00" w:type="dxa"/>
            <w:vAlign w:val="center"/>
            <w:textDirection w:val="lrTb"/>
            <w:noWrap/>
          </w:tcPr>
          <w:p>
            <w:pPr>
              <w:ind w:right="142"/>
              <w:jc w:val="right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198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00" w:type="dxa"/>
            <w:vAlign w:val="center"/>
            <w:textDirection w:val="lrTb"/>
            <w:noWrap/>
          </w:tcPr>
          <w:p>
            <w:pPr>
              <w:ind w:right="142"/>
              <w:jc w:val="right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156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00" w:type="dxa"/>
            <w:vAlign w:val="center"/>
            <w:textDirection w:val="lrTb"/>
            <w:noWrap/>
          </w:tcPr>
          <w:p>
            <w:pPr>
              <w:ind w:right="142"/>
              <w:jc w:val="right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146</w:t>
            </w:r>
            <w:r/>
          </w:p>
        </w:tc>
      </w:tr>
      <w:tr>
        <w:trPr>
          <w:trHeight w:val="320"/>
        </w:trPr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80" w:type="dxa"/>
            <w:vAlign w:val="center"/>
            <w:textDirection w:val="lrTb"/>
            <w:noWrap/>
          </w:tcPr>
          <w:p>
            <w:pPr>
              <w:ind w:right="142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Arbeitsmarkteffekt gesamt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20" w:type="dxa"/>
            <w:vAlign w:val="center"/>
            <w:textDirection w:val="lrTb"/>
            <w:noWrap/>
          </w:tcPr>
          <w:p>
            <w:pPr>
              <w:ind w:right="142"/>
              <w:jc w:val="right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3.491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20" w:type="dxa"/>
            <w:vAlign w:val="center"/>
            <w:textDirection w:val="lrTb"/>
            <w:noWrap/>
          </w:tcPr>
          <w:p>
            <w:pPr>
              <w:ind w:right="142"/>
              <w:jc w:val="right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3.423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00" w:type="dxa"/>
            <w:vAlign w:val="center"/>
            <w:textDirection w:val="lrTb"/>
            <w:noWrap/>
          </w:tcPr>
          <w:p>
            <w:pPr>
              <w:ind w:right="142"/>
              <w:jc w:val="right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3.269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00" w:type="dxa"/>
            <w:vAlign w:val="center"/>
            <w:textDirection w:val="lrTb"/>
            <w:noWrap/>
          </w:tcPr>
          <w:p>
            <w:pPr>
              <w:ind w:right="142"/>
              <w:jc w:val="right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3.210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00" w:type="dxa"/>
            <w:vAlign w:val="center"/>
            <w:textDirection w:val="lrTb"/>
            <w:noWrap/>
          </w:tcPr>
          <w:p>
            <w:pPr>
              <w:ind w:right="142"/>
              <w:jc w:val="right"/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Verdana" w:hAnsi="Verdana" w:cs="Calibri" w:eastAsia="Times New Roman"/>
                <w:color w:val="000000"/>
                <w:sz w:val="16"/>
                <w:szCs w:val="16"/>
                <w:lang w:val="de-DE" w:eastAsia="de-DE"/>
              </w:rPr>
              <w:t xml:space="preserve">3.034</w:t>
            </w:r>
            <w:r/>
          </w:p>
        </w:tc>
      </w:tr>
    </w:tbl>
    <w:p>
      <w:pPr>
        <w:ind w:right="425"/>
        <w:rPr>
          <w:rFonts w:ascii="Verdana" w:hAnsi="Verdana" w:cs="Arial Unicode MS"/>
          <w:sz w:val="20"/>
          <w:szCs w:val="20"/>
          <w:u w:val="single"/>
          <w:lang w:val="de-DE" w:eastAsia="de-DE"/>
        </w:rPr>
      </w:pPr>
      <w:r>
        <w:rPr>
          <w:rFonts w:ascii="Verdana" w:hAnsi="Verdana" w:cs="Arial Unicode MS"/>
          <w:sz w:val="20"/>
          <w:szCs w:val="20"/>
          <w:u w:val="single"/>
          <w:lang w:val="de-DE" w:eastAsia="de-DE"/>
        </w:rPr>
      </w:r>
      <w:r/>
    </w:p>
    <w:p>
      <w:pPr>
        <w:pStyle w:val="411"/>
        <w:ind w:right="425"/>
        <w:spacing w:after="120"/>
        <w:rPr>
          <w:color w:val="auto"/>
          <w:sz w:val="20"/>
          <w:szCs w:val="20"/>
          <w:u w:val="single"/>
        </w:rPr>
      </w:pPr>
      <w:r>
        <w:rPr>
          <w:color w:val="auto"/>
          <w:sz w:val="20"/>
          <w:szCs w:val="20"/>
          <w:u w:val="single"/>
        </w:rPr>
        <w:t xml:space="preserve">Über die Bürgschaftsbank Hessen GmbH</w:t>
      </w:r>
      <w:r/>
    </w:p>
    <w:p>
      <w:pPr>
        <w:pStyle w:val="411"/>
        <w:ind w:right="425"/>
        <w:spacing w:after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Als aktive Selbsthilfeeinrichtung der Hessischen Wirtschaft fördert die </w:t>
      </w:r>
      <w:r>
        <w:rPr>
          <w:color w:val="auto"/>
          <w:sz w:val="20"/>
          <w:szCs w:val="20"/>
        </w:rPr>
        <w:t xml:space="preserve">Bürgschaftsbank Hessen GmbH (BB-</w:t>
      </w:r>
      <w:r>
        <w:rPr>
          <w:color w:val="auto"/>
          <w:sz w:val="20"/>
          <w:szCs w:val="20"/>
        </w:rPr>
        <w:t xml:space="preserve">H) seit mehr als 6</w:t>
      </w:r>
      <w:r>
        <w:rPr>
          <w:color w:val="auto"/>
          <w:sz w:val="20"/>
          <w:szCs w:val="20"/>
        </w:rPr>
        <w:t xml:space="preserve">5</w:t>
      </w:r>
      <w:r>
        <w:rPr>
          <w:color w:val="auto"/>
          <w:sz w:val="20"/>
          <w:szCs w:val="20"/>
        </w:rPr>
        <w:t xml:space="preserve"> Jahren den wirtschaftlichen Erfolg kleiner und mittlerer Unternehmen sowie Freiberufle</w:t>
      </w:r>
      <w:r>
        <w:rPr>
          <w:color w:val="auto"/>
          <w:sz w:val="20"/>
          <w:szCs w:val="20"/>
        </w:rPr>
        <w:t xml:space="preserve">r. Für Unternehmer, die ein überzeugendes Konzept vorlegen, stellt die Bürgschaftsbank Hessen Bürgschaften für Kredite oder Beteiligungen. Gesellschafter sind Kammern sowie Verbände aus Handel, Industrie und Handwerk, Kreditinstitute und eine Versicherung.</w:t>
      </w:r>
      <w:r/>
    </w:p>
    <w:p>
      <w:pPr>
        <w:pStyle w:val="411"/>
        <w:ind w:right="425"/>
        <w:spacing w:after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  <w:r/>
    </w:p>
    <w:p>
      <w:pPr>
        <w:pStyle w:val="411"/>
        <w:ind w:right="425"/>
        <w:spacing w:after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Weitere Informationen und Ansprechpartner: </w:t>
      </w:r>
      <w:r/>
    </w:p>
    <w:p>
      <w:pPr>
        <w:pStyle w:val="411"/>
        <w:ind w:right="425"/>
        <w:spacing w:after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http://www.bb-h.de</w:t>
      </w:r>
      <w:r/>
    </w:p>
    <w:p>
      <w:pPr>
        <w:pStyle w:val="411"/>
        <w:ind w:right="425"/>
        <w:spacing w:after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  <w:r/>
    </w:p>
    <w:p>
      <w:pPr>
        <w:pStyle w:val="411"/>
        <w:ind w:right="425"/>
        <w:spacing w:after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Pressekontakt Bürgschaftsbank Hessen:</w:t>
      </w:r>
      <w:r/>
    </w:p>
    <w:p>
      <w:pPr>
        <w:pStyle w:val="411"/>
        <w:ind w:right="425"/>
        <w:spacing w:after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Guido Augustin</w:t>
      </w:r>
      <w:r/>
    </w:p>
    <w:p>
      <w:pPr>
        <w:pStyle w:val="411"/>
        <w:ind w:right="425"/>
        <w:spacing w:after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Tel. 06131 / </w:t>
      </w:r>
      <w:r>
        <w:rPr>
          <w:color w:val="auto"/>
          <w:sz w:val="20"/>
          <w:szCs w:val="20"/>
        </w:rPr>
        <w:t xml:space="preserve">48948-11</w:t>
      </w:r>
      <w:r/>
    </w:p>
    <w:p>
      <w:pPr>
        <w:pStyle w:val="411"/>
        <w:ind w:right="425"/>
        <w:spacing w:after="120"/>
        <w:rPr>
          <w:color w:val="auto"/>
        </w:rPr>
      </w:pPr>
      <w:r>
        <w:rPr>
          <w:color w:val="auto"/>
          <w:sz w:val="20"/>
          <w:szCs w:val="20"/>
        </w:rPr>
        <w:t xml:space="preserve">ga@guidoaugustin.com</w:t>
      </w:r>
      <w:r/>
    </w:p>
    <w:sectPr>
      <w:headerReference w:type="default" r:id="rId8"/>
      <w:headerReference w:type="even" r:id="rId9"/>
      <w:footnotePr/>
      <w:type w:val="nextPage"/>
      <w:pgSz w:w="11900" w:h="16840" w:orient="portrait"/>
      <w:pgMar w:top="3402" w:right="1552" w:bottom="1701" w:left="1701" w:header="709" w:footer="851" w:gutter="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Bold">
    <w:panose1 w:val="020F0409020205090404"/>
  </w:font>
  <w:font w:name="Calibri">
    <w:panose1 w:val="020F0502020204030204"/>
  </w:font>
  <w:font w:name="Lucida Grande">
    <w:panose1 w:val="020F0409020205090404"/>
  </w:font>
  <w:font w:name="Helvetica">
    <w:panose1 w:val="020B0704020202090204"/>
  </w:font>
  <w:font w:name="Verdana">
    <w:panose1 w:val="020B0604030504040204"/>
  </w:font>
  <w:font w:name="Arial">
    <w:panose1 w:val="020B0604020202020204"/>
  </w:font>
  <w:font w:name="Arial Unicode MS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9"/>
      <w:tabs>
        <w:tab w:val="left" w:pos="6296" w:leader="none"/>
        <w:tab w:val="right" w:pos="6776" w:leader="none"/>
        <w:tab w:val="clear" w:pos="9072" w:leader="none"/>
      </w:tabs>
    </w:pPr>
    <w:r/>
    <w:r/>
  </w:p>
  <w:p>
    <w:pPr>
      <w:pStyle w:val="409"/>
      <w:tabs>
        <w:tab w:val="left" w:pos="6296" w:leader="none"/>
        <w:tab w:val="right" w:pos="6776" w:leader="none"/>
        <w:tab w:val="clear" w:pos="9072" w:leader="none"/>
      </w:tabs>
    </w:pPr>
    <w:r/>
    <w:r/>
  </w:p>
  <w:p>
    <w:pPr>
      <w:pStyle w:val="409"/>
      <w:tabs>
        <w:tab w:val="left" w:pos="6296" w:leader="none"/>
        <w:tab w:val="right" w:pos="6776" w:leader="none"/>
        <w:tab w:val="clear" w:pos="9072" w:leader="none"/>
      </w:tabs>
    </w:pPr>
    <w:r/>
    <w:r/>
  </w:p>
  <w:p>
    <w:pPr>
      <w:pStyle w:val="409"/>
      <w:tabs>
        <w:tab w:val="left" w:pos="6296" w:leader="none"/>
        <w:tab w:val="right" w:pos="6776" w:leader="none"/>
        <w:tab w:val="clear" w:pos="9072" w:leader="none"/>
      </w:tabs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2556000" cy="947420"/>
              <wp:effectExtent l="0" t="0" r="0" b="5080"/>
              <wp:docPr id="1" name="Grafik 7" descr="Ein Bild, das Text enthält.&#10;&#10;Automatisch generierte Beschreibung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Grafik 7" descr="Ein Bild, das Text enthält.&#10;&#10;Automatisch generierte Beschreibung" hidden="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l="5989" t="0" r="-1802" b="0"/>
                      <a:stretch/>
                    </pic:blipFill>
                    <pic:spPr bwMode="auto">
                      <a:xfrm>
                        <a:off x="0" y="0"/>
                        <a:ext cx="2656061" cy="984509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201.3pt;height:74.6pt;">
              <v:path textboxrect="0,0,0,0"/>
              <v:imagedata r:id="rId1" o:title=""/>
            </v:shape>
          </w:pict>
        </mc:Fallback>
      </mc:AlternateContent>
    </w:r>
    <w:r/>
  </w:p>
  <w:p>
    <w:pPr>
      <w:pStyle w:val="409"/>
      <w:tabs>
        <w:tab w:val="left" w:pos="6296" w:leader="none"/>
        <w:tab w:val="right" w:pos="6776" w:leader="none"/>
        <w:tab w:val="clear" w:pos="9072" w:leader="none"/>
      </w:tabs>
    </w:pPr>
    <w:r/>
    <w:r/>
  </w:p>
  <w:p>
    <w:pPr>
      <w:pStyle w:val="409"/>
      <w:tabs>
        <w:tab w:val="left" w:pos="6296" w:leader="none"/>
        <w:tab w:val="right" w:pos="6776" w:leader="none"/>
        <w:tab w:val="clear" w:pos="9072" w:leader="none"/>
      </w:tabs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9"/>
      <w:tabs>
        <w:tab w:val="left" w:pos="6296" w:leader="none"/>
        <w:tab w:val="right" w:pos="6776" w:leader="none"/>
        <w:tab w:val="clear" w:pos="9072" w:leader="none"/>
      </w:tabs>
    </w:pPr>
    <w:r/>
    <w:r/>
  </w:p>
  <w:p>
    <w:pPr>
      <w:pStyle w:val="409"/>
      <w:tabs>
        <w:tab w:val="left" w:pos="6296" w:leader="none"/>
        <w:tab w:val="right" w:pos="6776" w:leader="none"/>
        <w:tab w:val="clear" w:pos="9072" w:leader="none"/>
      </w:tabs>
    </w:pPr>
    <w:r/>
    <w:r/>
  </w:p>
  <w:p>
    <w:pPr>
      <w:pStyle w:val="409"/>
      <w:tabs>
        <w:tab w:val="left" w:pos="6296" w:leader="none"/>
        <w:tab w:val="right" w:pos="6776" w:leader="none"/>
        <w:tab w:val="clear" w:pos="9072" w:leader="none"/>
      </w:tabs>
    </w:pPr>
    <w:r>
      <mc:AlternateContent>
        <mc:Choice Requires="wpg">
          <w:drawing>
            <wp:anchor xmlns:wp="http://schemas.openxmlformats.org/drawingml/2006/wordprocessingDrawing"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717550</wp:posOffset>
              </wp:positionH>
              <wp:positionV relativeFrom="page">
                <wp:posOffset>900430</wp:posOffset>
              </wp:positionV>
              <wp:extent cx="2542540" cy="923290"/>
              <wp:effectExtent l="0" t="0" r="0" b="0"/>
              <wp:wrapNone/>
              <wp:docPr id="2" name="Group 4" hidden="fals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542540" cy="923290"/>
                        <a:chOff x="0" y="0"/>
                        <a:chExt cx="25425" cy="9232"/>
                      </a:xfrm>
                    </wpg:grpSpPr>
                    <wps:wsp>
                      <wps:cNvSpPr/>
                      <wps:spPr bwMode="auto">
                        <a:xfrm>
                          <a:off x="0" y="0"/>
                          <a:ext cx="25425" cy="9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6" descr="image" hidden="0"/>
                        <pic:cNvPicPr/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25425" cy="92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0000" style="position:absolute;mso-wrap-distance-left:12.0pt;mso-wrap-distance-top:12.0pt;mso-wrap-distance-right:12.0pt;mso-wrap-distance-bottom:12.0pt;z-index:-251663360;o:allowoverlap:true;o:allowincell:true;mso-position-horizontal-relative:page;margin-left:56.5pt;mso-position-horizontal:absolute;mso-position-vertical-relative:page;margin-top:70.9pt;mso-position-vertical:absolute;width:200.2pt;height:72.7pt;" coordorigin="0,0" coordsize="254,92">
              <v:shape id="shape 2" o:spid="_x0000_s2" o:spt="1" style="position:absolute;left:0;top:0;width:254;height:92;" coordsize="100000,100000" path="" fillcolor="#FFFFFF">
                <v:path textboxrect="0,0,0,0"/>
              </v:shape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left:0;top:0;width:254;height:92;" stroked="false">
                <v:path textboxrect="0,0,0,0"/>
                <v:imagedata r:id="rId1" o:title=""/>
              </v:shape>
            </v:group>
          </w:pict>
        </mc:Fallback>
      </mc:AlternateContent>
    </w:r>
    <w:r/>
  </w:p>
  <w:p>
    <w:pPr>
      <w:pStyle w:val="409"/>
      <w:tabs>
        <w:tab w:val="left" w:pos="6296" w:leader="none"/>
        <w:tab w:val="right" w:pos="6776" w:leader="none"/>
        <w:tab w:val="clear" w:pos="9072" w:leader="none"/>
      </w:tabs>
    </w:pPr>
    <w:r/>
    <w:r/>
  </w:p>
  <w:p>
    <w:pPr>
      <w:pStyle w:val="409"/>
      <w:tabs>
        <w:tab w:val="left" w:pos="6296" w:leader="none"/>
        <w:tab w:val="right" w:pos="6776" w:leader="none"/>
        <w:tab w:val="clear" w:pos="9072" w:leader="none"/>
      </w:tabs>
    </w:pPr>
    <w:r/>
    <w:r/>
  </w:p>
  <w:p>
    <w:pPr>
      <w:pStyle w:val="409"/>
      <w:tabs>
        <w:tab w:val="left" w:pos="6296" w:leader="none"/>
        <w:tab w:val="right" w:pos="6776" w:leader="none"/>
        <w:tab w:val="clear" w:pos="9072" w:leader="none"/>
      </w:tabs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subSup"/>
    <m:rMargin m:val="0"/>
    <m:smallFrac m:val="on"/>
    <m:wrapRight m:val="on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Arial Unicode MS"/>
        <w:color w:val="auto"/>
        <w:spacing w:val="0"/>
        <w:position w:val="0"/>
        <w:sz w:val="24"/>
        <w:szCs w:val="24"/>
        <w:lang w:val="de-DE" w:bidi="ar-SA" w:eastAsia="de-DE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03"/>
    <w:next w:val="403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04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03"/>
    <w:next w:val="403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0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03"/>
    <w:next w:val="403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0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03"/>
    <w:next w:val="403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0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03"/>
    <w:next w:val="40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0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03"/>
    <w:next w:val="403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0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03"/>
    <w:next w:val="40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0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03"/>
    <w:next w:val="40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0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03"/>
    <w:next w:val="40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0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03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03"/>
    <w:next w:val="403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04"/>
    <w:link w:val="32"/>
    <w:uiPriority w:val="10"/>
    <w:rPr>
      <w:sz w:val="48"/>
      <w:szCs w:val="48"/>
    </w:rPr>
  </w:style>
  <w:style w:type="paragraph" w:styleId="34">
    <w:name w:val="Subtitle"/>
    <w:basedOn w:val="403"/>
    <w:next w:val="40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04"/>
    <w:link w:val="34"/>
    <w:uiPriority w:val="11"/>
    <w:rPr>
      <w:sz w:val="24"/>
      <w:szCs w:val="24"/>
    </w:rPr>
  </w:style>
  <w:style w:type="paragraph" w:styleId="36">
    <w:name w:val="Quote"/>
    <w:basedOn w:val="403"/>
    <w:next w:val="40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03"/>
    <w:next w:val="403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404"/>
    <w:link w:val="415"/>
    <w:uiPriority w:val="99"/>
  </w:style>
  <w:style w:type="character" w:styleId="43">
    <w:name w:val="Footer Char"/>
    <w:basedOn w:val="404"/>
    <w:link w:val="417"/>
    <w:uiPriority w:val="99"/>
  </w:style>
  <w:style w:type="paragraph" w:styleId="44">
    <w:name w:val="Caption"/>
    <w:basedOn w:val="403"/>
    <w:next w:val="40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17"/>
    <w:uiPriority w:val="99"/>
  </w:style>
  <w:style w:type="table" w:styleId="47">
    <w:name w:val="Table Grid Light"/>
    <w:basedOn w:val="4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0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40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04"/>
    <w:uiPriority w:val="99"/>
    <w:unhideWhenUsed/>
    <w:rPr>
      <w:vertAlign w:val="superscript"/>
    </w:rPr>
  </w:style>
  <w:style w:type="paragraph" w:styleId="176">
    <w:name w:val="toc 1"/>
    <w:basedOn w:val="403"/>
    <w:next w:val="403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403"/>
    <w:next w:val="403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403"/>
    <w:next w:val="403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403"/>
    <w:next w:val="403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403"/>
    <w:next w:val="403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403"/>
    <w:next w:val="403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403"/>
    <w:next w:val="403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403"/>
    <w:next w:val="403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403"/>
    <w:next w:val="403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403" w:default="1">
    <w:name w:val="Normal"/>
    <w:rPr>
      <w:lang w:val="en-US" w:eastAsia="en-US"/>
    </w:rPr>
  </w:style>
  <w:style w:type="character" w:styleId="404" w:default="1">
    <w:name w:val="Default Paragraph Font"/>
    <w:uiPriority w:val="1"/>
    <w:semiHidden/>
    <w:unhideWhenUsed/>
  </w:style>
  <w:style w:type="table" w:styleId="4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6" w:default="1">
    <w:name w:val="No List"/>
    <w:uiPriority w:val="99"/>
    <w:semiHidden/>
    <w:unhideWhenUsed/>
  </w:style>
  <w:style w:type="character" w:styleId="407">
    <w:name w:val="Hyperlink"/>
    <w:rPr>
      <w:u w:val="single"/>
    </w:rPr>
  </w:style>
  <w:style w:type="table" w:styleId="408" w:customStyle="1">
    <w:name w:val="Table Normal"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409" w:customStyle="1">
    <w:name w:val="Kopfzeile1"/>
    <w:rPr>
      <w:rFonts w:ascii="Verdana" w:hAnsi="Verdana" w:cs="Arial Unicode MS"/>
      <w:color w:val="000000"/>
      <w:sz w:val="18"/>
      <w:szCs w:val="18"/>
    </w:rPr>
    <w:pPr>
      <w:ind w:right="2268"/>
      <w:tabs>
        <w:tab w:val="center" w:pos="4536" w:leader="none"/>
        <w:tab w:val="right" w:pos="9072" w:leader="none"/>
      </w:tabs>
    </w:pPr>
  </w:style>
  <w:style w:type="paragraph" w:styleId="410" w:customStyle="1">
    <w:name w:val="Kopf- und Fußzeilen"/>
    <w:rPr>
      <w:rFonts w:ascii="Helvetica" w:hAnsi="Helvetica" w:cs="Arial Unicode MS"/>
      <w:color w:val="000000"/>
    </w:rPr>
    <w:pPr>
      <w:tabs>
        <w:tab w:val="right" w:pos="9020" w:leader="none"/>
      </w:tabs>
    </w:pPr>
  </w:style>
  <w:style w:type="paragraph" w:styleId="411" w:customStyle="1">
    <w:name w:val="Standard1"/>
    <w:rPr>
      <w:rFonts w:ascii="Verdana" w:hAnsi="Verdana" w:cs="Arial Unicode MS"/>
      <w:color w:val="000000"/>
      <w:sz w:val="18"/>
      <w:szCs w:val="18"/>
    </w:rPr>
    <w:pPr>
      <w:ind w:right="2268"/>
    </w:pPr>
  </w:style>
  <w:style w:type="paragraph" w:styleId="412" w:customStyle="1">
    <w:name w:val="Überschrift 2 A"/>
    <w:rPr>
      <w:rFonts w:ascii="Lucida Grande" w:hAnsi="Lucida Grande" w:cs="Arial Unicode MS"/>
      <w:color w:val="B91716"/>
      <w:sz w:val="32"/>
      <w:szCs w:val="32"/>
    </w:rPr>
    <w:pPr>
      <w:keepNext/>
    </w:pPr>
  </w:style>
  <w:style w:type="paragraph" w:styleId="413" w:customStyle="1">
    <w:name w:val="Überschrift 3 A"/>
    <w:rPr>
      <w:rFonts w:ascii="Calibri Bold" w:hAnsi="Calibri Bold" w:cs="Calibri Bold" w:eastAsia="Calibri Bold"/>
      <w:b/>
      <w:bCs/>
      <w:color w:val="000000"/>
      <w:sz w:val="26"/>
      <w:szCs w:val="26"/>
      <w:lang w:val="en-US"/>
    </w:rPr>
    <w:pPr>
      <w:keepNext/>
      <w:spacing w:after="60" w:before="240"/>
    </w:pPr>
  </w:style>
  <w:style w:type="table" w:styleId="414">
    <w:name w:val="Table Grid"/>
    <w:basedOn w:val="405"/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paragraph" w:styleId="415">
    <w:name w:val="Header"/>
    <w:basedOn w:val="403"/>
    <w:link w:val="416"/>
    <w:pPr>
      <w:tabs>
        <w:tab w:val="center" w:pos="4536" w:leader="none"/>
        <w:tab w:val="right" w:pos="9072" w:leader="none"/>
      </w:tabs>
    </w:pPr>
  </w:style>
  <w:style w:type="character" w:styleId="416" w:customStyle="1">
    <w:name w:val="Kopfzeile Zchn"/>
    <w:basedOn w:val="404"/>
    <w:link w:val="415"/>
    <w:rPr>
      <w:lang w:val="en-US" w:eastAsia="en-US"/>
    </w:rPr>
  </w:style>
  <w:style w:type="paragraph" w:styleId="417">
    <w:name w:val="Footer"/>
    <w:basedOn w:val="403"/>
    <w:link w:val="418"/>
    <w:pPr>
      <w:tabs>
        <w:tab w:val="center" w:pos="4536" w:leader="none"/>
        <w:tab w:val="right" w:pos="9072" w:leader="none"/>
      </w:tabs>
    </w:pPr>
  </w:style>
  <w:style w:type="character" w:styleId="418" w:customStyle="1">
    <w:name w:val="Fußzeile Zchn"/>
    <w:basedOn w:val="404"/>
    <w:link w:val="417"/>
    <w:rPr>
      <w:lang w:val="en-US" w:eastAsia="en-US"/>
    </w:rPr>
  </w:style>
  <w:style w:type="character" w:styleId="419">
    <w:name w:val="Unresolved Mention"/>
    <w:basedOn w:val="404"/>
    <w:uiPriority w:val="99"/>
    <w:semiHidden/>
    <w:unhideWhenUsed/>
    <w:rPr>
      <w:color w:val="808080"/>
      <w:shd w:val="clear" w:color="auto" w:fill="E6E6E6"/>
    </w:rPr>
  </w:style>
  <w:style w:type="character" w:styleId="420">
    <w:name w:val="FollowedHyperlink"/>
    <w:basedOn w:val="404"/>
    <w:semiHidden/>
    <w:unhideWhenUsed/>
    <w:rPr>
      <w:color w:val="FF00FF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yperlink" Target="http://www.bb-h.de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ONLYOFFICE/5.5.3.39</Application>
  <Company>Guido Augustin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Augustin</dc:creator>
  <cp:lastModifiedBy>Anonymous</cp:lastModifiedBy>
  <cp:revision>3</cp:revision>
  <dcterms:created xsi:type="dcterms:W3CDTF">2021-05-01T11:56:00Z</dcterms:created>
  <dcterms:modified xsi:type="dcterms:W3CDTF">2021-05-03T13:35:07Z</dcterms:modified>
</cp:coreProperties>
</file>